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C79E" w14:textId="21DF35CA" w:rsidR="00405465" w:rsidRPr="00B4258D" w:rsidRDefault="00A750A0" w:rsidP="00A750A0">
      <w:pPr>
        <w:pStyle w:val="Style1"/>
        <w:shd w:val="clear" w:color="auto" w:fill="1F4E79" w:themeFill="accent5" w:themeFillShade="80"/>
        <w:ind w:left="720"/>
        <w:rPr>
          <w:rFonts w:ascii="Segoe UI" w:hAnsi="Segoe UI"/>
        </w:rPr>
      </w:pPr>
      <w:bookmarkStart w:id="0" w:name="_Toc87274607"/>
      <w:r>
        <w:rPr>
          <w:rFonts w:ascii="Segoe UI" w:hAnsi="Segoe UI"/>
          <w:noProof/>
        </w:rPr>
        <w:drawing>
          <wp:anchor distT="0" distB="0" distL="114300" distR="114300" simplePos="0" relativeHeight="251658240" behindDoc="0" locked="0" layoutInCell="1" allowOverlap="1" wp14:anchorId="52CEB107" wp14:editId="723CAE53">
            <wp:simplePos x="0" y="0"/>
            <wp:positionH relativeFrom="column">
              <wp:posOffset>-146050</wp:posOffset>
            </wp:positionH>
            <wp:positionV relativeFrom="paragraph">
              <wp:posOffset>0</wp:posOffset>
            </wp:positionV>
            <wp:extent cx="908050" cy="864235"/>
            <wp:effectExtent l="0" t="0" r="6350" b="0"/>
            <wp:wrapThrough wrapText="bothSides">
              <wp:wrapPolygon edited="0">
                <wp:start x="0" y="0"/>
                <wp:lineTo x="0" y="20949"/>
                <wp:lineTo x="21298" y="20949"/>
                <wp:lineTo x="212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465" w:rsidRPr="00B4258D">
        <w:rPr>
          <w:rFonts w:ascii="Segoe UI" w:hAnsi="Segoe UI"/>
        </w:rPr>
        <w:t xml:space="preserve">Raising the </w:t>
      </w:r>
      <w:r>
        <w:rPr>
          <w:rFonts w:ascii="Segoe UI" w:hAnsi="Segoe UI"/>
        </w:rPr>
        <w:t>A</w:t>
      </w:r>
      <w:r w:rsidR="00405465" w:rsidRPr="00B4258D">
        <w:rPr>
          <w:rFonts w:ascii="Segoe UI" w:hAnsi="Segoe UI"/>
        </w:rPr>
        <w:t xml:space="preserve">ge of </w:t>
      </w:r>
      <w:r>
        <w:rPr>
          <w:rFonts w:ascii="Segoe UI" w:hAnsi="Segoe UI"/>
        </w:rPr>
        <w:t>J</w:t>
      </w:r>
      <w:r w:rsidR="00405465" w:rsidRPr="00B4258D">
        <w:rPr>
          <w:rFonts w:ascii="Segoe UI" w:hAnsi="Segoe UI"/>
        </w:rPr>
        <w:t xml:space="preserve">uvenile </w:t>
      </w:r>
      <w:r>
        <w:rPr>
          <w:rFonts w:ascii="Segoe UI" w:hAnsi="Segoe UI"/>
        </w:rPr>
        <w:t>J</w:t>
      </w:r>
      <w:r w:rsidR="00405465" w:rsidRPr="00B4258D">
        <w:rPr>
          <w:rFonts w:ascii="Segoe UI" w:hAnsi="Segoe UI"/>
        </w:rPr>
        <w:t xml:space="preserve">urisdiction </w:t>
      </w:r>
      <w:bookmarkEnd w:id="0"/>
      <w:r w:rsidR="006F33FE">
        <w:rPr>
          <w:rFonts w:ascii="Segoe UI" w:hAnsi="Segoe UI"/>
        </w:rPr>
        <w:t>Reduces Recidivism</w:t>
      </w:r>
    </w:p>
    <w:p w14:paraId="730192F5" w14:textId="16154981" w:rsidR="006F33FE" w:rsidRDefault="006F33FE" w:rsidP="006F33FE">
      <w:pPr>
        <w:spacing w:after="0" w:line="240" w:lineRule="auto"/>
        <w:rPr>
          <w:rFonts w:ascii="Segoe UI" w:hAnsi="Segoe UI" w:cs="Segoe UI"/>
          <w:bCs/>
          <w:sz w:val="22"/>
        </w:rPr>
      </w:pPr>
      <w:r w:rsidRPr="007239C7">
        <w:rPr>
          <w:rFonts w:ascii="Segoe UI" w:hAnsi="Segoe UI" w:cs="Segoe UI"/>
          <w:sz w:val="22"/>
        </w:rPr>
        <w:t>Young people’s problematic behavior peaks at age 18 and 19</w:t>
      </w:r>
      <w:r w:rsidRPr="007239C7">
        <w:rPr>
          <w:rStyle w:val="EndnoteReference"/>
          <w:rFonts w:ascii="Segoe UI" w:hAnsi="Segoe UI" w:cs="Segoe UI"/>
          <w:sz w:val="22"/>
        </w:rPr>
        <w:endnoteReference w:id="1"/>
      </w:r>
      <w:r w:rsidRPr="007239C7">
        <w:rPr>
          <w:rFonts w:ascii="Segoe UI" w:hAnsi="Segoe UI" w:cs="Segoe UI"/>
          <w:sz w:val="22"/>
        </w:rPr>
        <w:t xml:space="preserve">.  It is imperative that we recognize that successfully reducing recidivism is directly tied to young people’s ability to meet key youth developmental milestones.  </w:t>
      </w:r>
      <w:r>
        <w:rPr>
          <w:rFonts w:ascii="Segoe UI" w:hAnsi="Segoe UI" w:cs="Segoe UI"/>
          <w:sz w:val="22"/>
        </w:rPr>
        <w:t xml:space="preserve"> </w:t>
      </w:r>
      <w:r w:rsidRPr="007239C7">
        <w:rPr>
          <w:rFonts w:ascii="Segoe UI" w:hAnsi="Segoe UI" w:cs="Segoe UI"/>
          <w:sz w:val="22"/>
        </w:rPr>
        <w:t xml:space="preserve">The juvenile system’s focus on accountability through rehabilitation and positive youth development is directly tied to lower recidivism rates.  </w:t>
      </w:r>
      <w:r w:rsidRPr="00DB6BEB">
        <w:rPr>
          <w:rFonts w:ascii="Segoe UI" w:hAnsi="Segoe UI" w:cs="Segoe UI"/>
          <w:sz w:val="22"/>
        </w:rPr>
        <w:t xml:space="preserve">Based on a review of </w:t>
      </w:r>
      <w:r>
        <w:rPr>
          <w:rFonts w:ascii="Segoe UI" w:hAnsi="Segoe UI" w:cs="Segoe UI"/>
          <w:sz w:val="22"/>
        </w:rPr>
        <w:t xml:space="preserve">six </w:t>
      </w:r>
      <w:r w:rsidRPr="00DB6BEB">
        <w:rPr>
          <w:rFonts w:ascii="Segoe UI" w:hAnsi="Segoe UI" w:cs="Segoe UI"/>
          <w:sz w:val="22"/>
        </w:rPr>
        <w:t xml:space="preserve">studies on </w:t>
      </w:r>
      <w:r>
        <w:rPr>
          <w:rFonts w:ascii="Segoe UI" w:hAnsi="Segoe UI" w:cs="Segoe UI"/>
          <w:sz w:val="22"/>
        </w:rPr>
        <w:t>the effects of prosecuting juveniles as adult on subsequent violent offending</w:t>
      </w:r>
      <w:r w:rsidRPr="00DB6BEB">
        <w:rPr>
          <w:rFonts w:ascii="Segoe UI" w:hAnsi="Segoe UI" w:cs="Segoe UI"/>
          <w:sz w:val="22"/>
        </w:rPr>
        <w:t>,</w:t>
      </w:r>
      <w:r>
        <w:rPr>
          <w:rFonts w:ascii="Segoe UI" w:hAnsi="Segoe UI" w:cs="Segoe UI"/>
          <w:sz w:val="22"/>
        </w:rPr>
        <w:t xml:space="preserve"> the</w:t>
      </w:r>
      <w:r w:rsidRPr="00DB6BEB">
        <w:rPr>
          <w:rFonts w:ascii="Segoe UI" w:hAnsi="Segoe UI" w:cs="Segoe UI"/>
          <w:sz w:val="22"/>
        </w:rPr>
        <w:t xml:space="preserve"> CDC concluded that</w:t>
      </w:r>
      <w:r>
        <w:rPr>
          <w:rFonts w:ascii="Segoe UI" w:hAnsi="Segoe UI" w:cs="Segoe UI"/>
          <w:sz w:val="22"/>
        </w:rPr>
        <w:t xml:space="preserve"> otherwise</w:t>
      </w:r>
      <w:r w:rsidRPr="007239C7">
        <w:rPr>
          <w:rFonts w:ascii="Segoe UI" w:hAnsi="Segoe UI" w:cs="Segoe UI"/>
          <w:bCs/>
          <w:sz w:val="22"/>
        </w:rPr>
        <w:t xml:space="preserve"> similar adolescents had a </w:t>
      </w:r>
      <w:r w:rsidRPr="007239C7">
        <w:rPr>
          <w:rFonts w:ascii="Segoe UI" w:hAnsi="Segoe UI" w:cs="Segoe UI"/>
          <w:b/>
          <w:bCs/>
          <w:sz w:val="22"/>
        </w:rPr>
        <w:t>34 percent higher felony re-arrest</w:t>
      </w:r>
      <w:r w:rsidRPr="007239C7">
        <w:rPr>
          <w:rFonts w:ascii="Segoe UI" w:hAnsi="Segoe UI" w:cs="Segoe UI"/>
          <w:bCs/>
          <w:sz w:val="22"/>
        </w:rPr>
        <w:t xml:space="preserve"> rate when they were processed in court as adults compared to those arraigned as juveniles</w:t>
      </w:r>
      <w:r w:rsidRPr="007239C7">
        <w:rPr>
          <w:rStyle w:val="EndnoteReference"/>
          <w:rFonts w:ascii="Segoe UI" w:hAnsi="Segoe UI" w:cs="Segoe UI"/>
          <w:bCs/>
          <w:sz w:val="22"/>
        </w:rPr>
        <w:endnoteReference w:id="2"/>
      </w:r>
      <w:r w:rsidRPr="007239C7">
        <w:rPr>
          <w:rFonts w:ascii="Segoe UI" w:hAnsi="Segoe UI" w:cs="Segoe UI"/>
          <w:bCs/>
          <w:sz w:val="22"/>
        </w:rPr>
        <w:t xml:space="preserve">.  </w:t>
      </w:r>
    </w:p>
    <w:p w14:paraId="6BB8D797" w14:textId="2D33A80E" w:rsidR="006F33FE" w:rsidRDefault="006F33FE" w:rsidP="0040546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2"/>
        </w:rPr>
      </w:pPr>
    </w:p>
    <w:p w14:paraId="6503A888" w14:textId="77777777" w:rsidR="006F33FE" w:rsidRPr="00A41238" w:rsidRDefault="006F33FE" w:rsidP="006F33FE">
      <w:pPr>
        <w:spacing w:after="0" w:line="240" w:lineRule="auto"/>
        <w:rPr>
          <w:rFonts w:ascii="Segoe UI" w:hAnsi="Segoe UI" w:cs="Segoe UI"/>
          <w:bCs/>
          <w:sz w:val="22"/>
        </w:rPr>
      </w:pPr>
      <w:r w:rsidRPr="000C537C">
        <w:rPr>
          <w:rFonts w:ascii="Segoe UI" w:hAnsi="Segoe UI" w:cs="Segoe UI"/>
          <w:b/>
          <w:sz w:val="22"/>
        </w:rPr>
        <w:t>Recidivism among young people incarcerated in the adult correction</w:t>
      </w:r>
      <w:r>
        <w:rPr>
          <w:rFonts w:ascii="Segoe UI" w:hAnsi="Segoe UI" w:cs="Segoe UI"/>
          <w:b/>
          <w:sz w:val="22"/>
        </w:rPr>
        <w:t>al</w:t>
      </w:r>
      <w:r w:rsidRPr="000C537C">
        <w:rPr>
          <w:rFonts w:ascii="Segoe UI" w:hAnsi="Segoe UI" w:cs="Segoe UI"/>
          <w:b/>
          <w:sz w:val="22"/>
        </w:rPr>
        <w:t xml:space="preserve"> system is more than double the recidivism of similarly</w:t>
      </w:r>
      <w:r>
        <w:rPr>
          <w:rFonts w:ascii="Segoe UI" w:hAnsi="Segoe UI" w:cs="Segoe UI"/>
          <w:b/>
          <w:sz w:val="22"/>
        </w:rPr>
        <w:t xml:space="preserve"> </w:t>
      </w:r>
      <w:r w:rsidRPr="000C537C">
        <w:rPr>
          <w:rFonts w:ascii="Segoe UI" w:hAnsi="Segoe UI" w:cs="Segoe UI"/>
          <w:b/>
          <w:sz w:val="22"/>
        </w:rPr>
        <w:t>aged youth released from Department of Youth Services</w:t>
      </w:r>
      <w:r w:rsidRPr="000A72EE">
        <w:rPr>
          <w:rFonts w:ascii="Segoe UI" w:hAnsi="Segoe UI" w:cs="Segoe UI"/>
          <w:bCs/>
          <w:sz w:val="22"/>
        </w:rPr>
        <w:t xml:space="preserve"> </w:t>
      </w:r>
      <w:r w:rsidRPr="000C537C">
        <w:rPr>
          <w:rFonts w:ascii="Segoe UI" w:hAnsi="Segoe UI" w:cs="Segoe UI"/>
          <w:b/>
          <w:sz w:val="22"/>
        </w:rPr>
        <w:t>commitment</w:t>
      </w:r>
      <w:r>
        <w:rPr>
          <w:rFonts w:ascii="Segoe UI" w:hAnsi="Segoe UI" w:cs="Segoe UI"/>
          <w:b/>
          <w:sz w:val="22"/>
        </w:rPr>
        <w:t>.</w:t>
      </w:r>
      <w:r w:rsidRPr="007239C7"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 xml:space="preserve"> </w:t>
      </w:r>
      <w:r w:rsidRPr="007239C7">
        <w:rPr>
          <w:rFonts w:ascii="Segoe UI" w:hAnsi="Segoe UI" w:cs="Segoe UI"/>
          <w:sz w:val="22"/>
        </w:rPr>
        <w:t>Teens and young adults incarcerated in Massachusetts’ adult correctional facilities have a 55%</w:t>
      </w:r>
      <w:r w:rsidRPr="007239C7">
        <w:rPr>
          <w:rStyle w:val="EndnoteReference"/>
          <w:rFonts w:ascii="Segoe UI" w:hAnsi="Segoe UI" w:cs="Segoe UI"/>
          <w:sz w:val="22"/>
        </w:rPr>
        <w:endnoteReference w:id="3"/>
      </w:r>
      <w:r w:rsidRPr="007239C7">
        <w:rPr>
          <w:rFonts w:ascii="Segoe UI" w:hAnsi="Segoe UI" w:cs="Segoe UI"/>
          <w:sz w:val="22"/>
        </w:rPr>
        <w:t xml:space="preserve"> re-conviction rate</w:t>
      </w:r>
      <w:r w:rsidRPr="007239C7">
        <w:rPr>
          <w:rStyle w:val="EndnoteReference"/>
          <w:rFonts w:ascii="Segoe UI" w:hAnsi="Segoe UI" w:cs="Segoe UI"/>
          <w:sz w:val="22"/>
        </w:rPr>
        <w:endnoteReference w:id="4"/>
      </w:r>
      <w:r w:rsidRPr="007239C7">
        <w:rPr>
          <w:rFonts w:ascii="Segoe UI" w:hAnsi="Segoe UI" w:cs="Segoe UI"/>
          <w:sz w:val="22"/>
        </w:rPr>
        <w:t>, while teens exiting DYS commitment have a re-conviction rate of 22%</w:t>
      </w:r>
      <w:r w:rsidRPr="007239C7">
        <w:rPr>
          <w:rFonts w:ascii="Segoe UI" w:hAnsi="Segoe UI" w:cs="Segoe UI"/>
          <w:b/>
          <w:sz w:val="22"/>
        </w:rPr>
        <w:t xml:space="preserve"> </w:t>
      </w:r>
      <w:r w:rsidRPr="00A41238">
        <w:rPr>
          <w:rFonts w:ascii="Segoe UI" w:hAnsi="Segoe UI" w:cs="Segoe UI"/>
          <w:bCs/>
          <w:sz w:val="22"/>
        </w:rPr>
        <w:t>(figure 1).</w:t>
      </w:r>
      <w:r w:rsidRPr="00A41238">
        <w:rPr>
          <w:rStyle w:val="EndnoteReference"/>
          <w:rFonts w:ascii="Segoe UI" w:hAnsi="Segoe UI" w:cs="Segoe UI"/>
          <w:bCs/>
          <w:sz w:val="22"/>
        </w:rPr>
        <w:t xml:space="preserve"> </w:t>
      </w:r>
      <w:r w:rsidRPr="00A41238">
        <w:rPr>
          <w:rStyle w:val="EndnoteReference"/>
          <w:rFonts w:ascii="Segoe UI" w:hAnsi="Segoe UI" w:cs="Segoe UI"/>
          <w:bCs/>
          <w:sz w:val="22"/>
        </w:rPr>
        <w:endnoteReference w:id="5"/>
      </w:r>
      <w:r w:rsidRPr="00A41238">
        <w:rPr>
          <w:rFonts w:ascii="Segoe UI" w:hAnsi="Segoe UI" w:cs="Segoe UI"/>
          <w:bCs/>
          <w:sz w:val="22"/>
        </w:rPr>
        <w:t xml:space="preserve"> </w:t>
      </w:r>
    </w:p>
    <w:p w14:paraId="31C2DFA7" w14:textId="2B5D1375" w:rsidR="006F33FE" w:rsidRDefault="006F33FE" w:rsidP="0040546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2"/>
        </w:rPr>
      </w:pPr>
    </w:p>
    <w:p w14:paraId="2CC02CA6" w14:textId="637D982C" w:rsidR="006F33FE" w:rsidRDefault="006F33FE" w:rsidP="0040546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2"/>
        </w:rPr>
      </w:pPr>
      <w:r w:rsidRPr="000C537C">
        <w:rPr>
          <w:rFonts w:ascii="Segoe UI" w:hAnsi="Segoe UI" w:cs="Segoe UI"/>
          <w:b/>
          <w:noProof/>
          <w:sz w:val="22"/>
        </w:rPr>
        <w:drawing>
          <wp:inline distT="0" distB="0" distL="0" distR="0" wp14:anchorId="6443AED7" wp14:editId="2C6E2864">
            <wp:extent cx="4368800" cy="2146300"/>
            <wp:effectExtent l="0" t="0" r="12700" b="635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B669E4BB-B3DE-4776-B942-9DA7117705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6E0F9C1" w14:textId="5FDA406C" w:rsidR="006F33FE" w:rsidRDefault="006F33FE" w:rsidP="0040546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2"/>
        </w:rPr>
      </w:pPr>
    </w:p>
    <w:p w14:paraId="70865153" w14:textId="77777777" w:rsidR="006F33FE" w:rsidRDefault="006F33FE" w:rsidP="006F33FE">
      <w:pPr>
        <w:spacing w:after="0" w:line="240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b/>
          <w:sz w:val="22"/>
        </w:rPr>
        <w:t>Young people in the adult system have the highest recidivism of any age group,</w:t>
      </w:r>
      <w:r>
        <w:rPr>
          <w:rStyle w:val="EndnoteReference"/>
          <w:rFonts w:ascii="Segoe UI" w:hAnsi="Segoe UI" w:cs="Segoe UI"/>
          <w:b/>
          <w:sz w:val="22"/>
        </w:rPr>
        <w:endnoteReference w:id="6"/>
      </w:r>
      <w:r>
        <w:rPr>
          <w:rFonts w:ascii="Segoe UI" w:hAnsi="Segoe UI" w:cs="Segoe UI"/>
          <w:b/>
          <w:sz w:val="22"/>
        </w:rPr>
        <w:t xml:space="preserve"> and similar young people in the juvenile system have the lowest recidivism of any age group</w:t>
      </w:r>
      <w:r>
        <w:rPr>
          <w:rStyle w:val="EndnoteReference"/>
          <w:rFonts w:ascii="Segoe UI" w:hAnsi="Segoe UI" w:cs="Segoe UI"/>
          <w:b/>
          <w:sz w:val="22"/>
        </w:rPr>
        <w:endnoteReference w:id="7"/>
      </w:r>
      <w:r>
        <w:rPr>
          <w:rFonts w:ascii="Segoe UI" w:hAnsi="Segoe UI" w:cs="Segoe UI"/>
          <w:b/>
          <w:sz w:val="22"/>
        </w:rPr>
        <w:t xml:space="preserve"> </w:t>
      </w:r>
      <w:r w:rsidRPr="00A41238">
        <w:rPr>
          <w:rFonts w:ascii="Segoe UI" w:hAnsi="Segoe UI" w:cs="Segoe UI"/>
          <w:bCs/>
          <w:sz w:val="22"/>
        </w:rPr>
        <w:t>(figure 2)</w:t>
      </w:r>
      <w:r>
        <w:rPr>
          <w:rFonts w:ascii="Segoe UI" w:hAnsi="Segoe UI" w:cs="Segoe UI"/>
          <w:b/>
          <w:sz w:val="22"/>
        </w:rPr>
        <w:t xml:space="preserve">.  </w:t>
      </w:r>
      <w:r w:rsidRPr="007239C7">
        <w:rPr>
          <w:rFonts w:ascii="Segoe UI" w:hAnsi="Segoe UI" w:cs="Segoe UI"/>
          <w:sz w:val="22"/>
        </w:rPr>
        <w:t>DYS has been successful in reducing its recidivism rate following almost four decades of reforms</w:t>
      </w:r>
      <w:r>
        <w:rPr>
          <w:rFonts w:ascii="Segoe UI" w:hAnsi="Segoe UI" w:cs="Segoe UI"/>
          <w:sz w:val="22"/>
        </w:rPr>
        <w:t>,</w:t>
      </w:r>
      <w:r w:rsidRPr="007239C7">
        <w:rPr>
          <w:rFonts w:ascii="Segoe UI" w:hAnsi="Segoe UI" w:cs="Segoe UI"/>
          <w:sz w:val="22"/>
        </w:rPr>
        <w:t xml:space="preserve"> building in an emphasis on treatment and promoting policies whose primary goal is to ensure young people’s healthy and positive development into adulthood.  </w:t>
      </w:r>
    </w:p>
    <w:p w14:paraId="6BEACC32" w14:textId="77777777" w:rsidR="006F33FE" w:rsidRDefault="006F33FE" w:rsidP="006F33FE">
      <w:pPr>
        <w:spacing w:after="0" w:line="240" w:lineRule="auto"/>
        <w:rPr>
          <w:rFonts w:ascii="Segoe UI" w:hAnsi="Segoe UI" w:cs="Segoe U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6F33FE" w14:paraId="0DFF9B99" w14:textId="77777777" w:rsidTr="00D311F3"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3F968F2E" w14:textId="3DDC4C18" w:rsidR="006F33FE" w:rsidRPr="006F33FE" w:rsidRDefault="006F33FE" w:rsidP="006F33FE">
            <w:pPr>
              <w:spacing w:after="0" w:line="240" w:lineRule="auto"/>
              <w:rPr>
                <w:rFonts w:ascii="Segoe UI" w:hAnsi="Segoe UI" w:cs="Segoe UI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20105CA" wp14:editId="579B7C4B">
                  <wp:extent cx="4629150" cy="2139950"/>
                  <wp:effectExtent l="0" t="0" r="0" b="12700"/>
                  <wp:docPr id="2" name="Chart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7C59D2-A594-4901-9F90-F76F38D661D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1F05C737" w14:textId="77777777" w:rsidR="006F33FE" w:rsidRDefault="006F33FE" w:rsidP="006F33FE">
      <w:pPr>
        <w:pStyle w:val="ListParagraph"/>
        <w:spacing w:after="0" w:line="240" w:lineRule="auto"/>
        <w:ind w:left="0"/>
        <w:contextualSpacing w:val="0"/>
        <w:rPr>
          <w:rFonts w:ascii="Segoe UI" w:hAnsi="Segoe UI" w:cs="Segoe UI"/>
          <w:bCs/>
          <w:sz w:val="22"/>
        </w:rPr>
      </w:pPr>
    </w:p>
    <w:p w14:paraId="2AA5C71F" w14:textId="77777777" w:rsidR="006F33FE" w:rsidRDefault="006F33FE" w:rsidP="006F33FE">
      <w:pPr>
        <w:pStyle w:val="ListParagraph"/>
        <w:spacing w:after="0" w:line="240" w:lineRule="auto"/>
        <w:ind w:left="0"/>
        <w:contextualSpacing w:val="0"/>
        <w:rPr>
          <w:rFonts w:ascii="Segoe UI" w:hAnsi="Segoe UI" w:cs="Segoe UI"/>
          <w:bCs/>
          <w:sz w:val="22"/>
        </w:rPr>
      </w:pPr>
    </w:p>
    <w:p w14:paraId="4EF5E771" w14:textId="3BB85BC7" w:rsidR="006F33FE" w:rsidRDefault="006F33FE" w:rsidP="006F33FE">
      <w:pPr>
        <w:pStyle w:val="ListParagraph"/>
        <w:spacing w:after="0" w:line="240" w:lineRule="auto"/>
        <w:ind w:left="0"/>
        <w:contextualSpacing w:val="0"/>
        <w:rPr>
          <w:rFonts w:ascii="Segoe UI" w:hAnsi="Segoe UI" w:cs="Segoe UI"/>
          <w:bCs/>
          <w:sz w:val="22"/>
        </w:rPr>
      </w:pPr>
      <w:r>
        <w:rPr>
          <w:rFonts w:ascii="Segoe UI" w:hAnsi="Segoe UI" w:cs="Segoe UI"/>
          <w:bCs/>
          <w:sz w:val="22"/>
        </w:rPr>
        <w:t>Criminal (adult) l</w:t>
      </w:r>
      <w:r w:rsidRPr="000A72EE">
        <w:rPr>
          <w:rFonts w:ascii="Segoe UI" w:hAnsi="Segoe UI" w:cs="Segoe UI"/>
          <w:bCs/>
          <w:sz w:val="22"/>
        </w:rPr>
        <w:t xml:space="preserve">egal system-involved young </w:t>
      </w:r>
      <w:r>
        <w:rPr>
          <w:rFonts w:ascii="Segoe UI" w:hAnsi="Segoe UI" w:cs="Segoe UI"/>
          <w:bCs/>
          <w:sz w:val="22"/>
        </w:rPr>
        <w:t>people are also the</w:t>
      </w:r>
      <w:r w:rsidRPr="000A72EE">
        <w:rPr>
          <w:rFonts w:ascii="Segoe UI" w:hAnsi="Segoe UI" w:cs="Segoe UI"/>
          <w:bCs/>
          <w:sz w:val="22"/>
        </w:rPr>
        <w:t xml:space="preserve"> costliest </w:t>
      </w:r>
      <w:r>
        <w:rPr>
          <w:rFonts w:ascii="Segoe UI" w:hAnsi="Segoe UI" w:cs="Segoe UI"/>
          <w:bCs/>
          <w:sz w:val="22"/>
        </w:rPr>
        <w:t xml:space="preserve">population </w:t>
      </w:r>
      <w:r w:rsidRPr="000A72EE">
        <w:rPr>
          <w:rFonts w:ascii="Segoe UI" w:hAnsi="Segoe UI" w:cs="Segoe UI"/>
          <w:bCs/>
          <w:sz w:val="22"/>
        </w:rPr>
        <w:t xml:space="preserve">to taxpayers. </w:t>
      </w:r>
      <w:r>
        <w:rPr>
          <w:rFonts w:ascii="Segoe UI" w:hAnsi="Segoe UI" w:cs="Segoe UI"/>
          <w:bCs/>
          <w:sz w:val="22"/>
        </w:rPr>
        <w:t xml:space="preserve"> According to Council of State Government’s analysis of Massachusetts data, “young people have longer lengths of stay than other groups, making them the costliest group of recidivists.”</w:t>
      </w:r>
      <w:r>
        <w:rPr>
          <w:rStyle w:val="EndnoteReference"/>
          <w:rFonts w:ascii="Segoe UI" w:hAnsi="Segoe UI" w:cs="Segoe UI"/>
          <w:bCs/>
          <w:sz w:val="22"/>
        </w:rPr>
        <w:endnoteReference w:id="8"/>
      </w:r>
    </w:p>
    <w:p w14:paraId="115A65EE" w14:textId="59940FC0" w:rsidR="00405465" w:rsidRPr="001F6689" w:rsidRDefault="00405465" w:rsidP="0040546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2"/>
        </w:rPr>
      </w:pPr>
    </w:p>
    <w:tbl>
      <w:tblPr>
        <w:tblStyle w:val="TableGrid1"/>
        <w:tblW w:w="9926" w:type="dxa"/>
        <w:tblInd w:w="-108" w:type="dxa"/>
        <w:tblLook w:val="04A0" w:firstRow="1" w:lastRow="0" w:firstColumn="1" w:lastColumn="0" w:noHBand="0" w:noVBand="1"/>
      </w:tblPr>
      <w:tblGrid>
        <w:gridCol w:w="9926"/>
      </w:tblGrid>
      <w:tr w:rsidR="006F33FE" w14:paraId="76619BBE" w14:textId="77777777" w:rsidTr="006F33FE"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6F60F9F2" w14:textId="78653A57" w:rsidR="006F33FE" w:rsidRPr="006F33FE" w:rsidRDefault="006F33FE" w:rsidP="006F33FE">
            <w:pPr>
              <w:spacing w:after="0" w:line="240" w:lineRule="auto"/>
              <w:jc w:val="center"/>
              <w:rPr>
                <w:rFonts w:ascii="Segoe UI" w:hAnsi="Segoe UI" w:cs="Segoe UI"/>
                <w:sz w:val="22"/>
              </w:rPr>
            </w:pPr>
            <w:r w:rsidRPr="00A41238">
              <w:rPr>
                <w:rFonts w:ascii="Segoe UI" w:hAnsi="Segoe UI" w:cs="Segoe UI"/>
                <w:noProof/>
                <w:sz w:val="22"/>
              </w:rPr>
              <w:drawing>
                <wp:inline distT="0" distB="0" distL="0" distR="0" wp14:anchorId="19A0B858" wp14:editId="4D6B15E4">
                  <wp:extent cx="2474489" cy="4880706"/>
                  <wp:effectExtent l="0" t="3175" r="0" b="0"/>
                  <wp:docPr id="17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C86A2F-A27B-4BEF-9CE2-3070644ECAC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9CC86A2F-A27B-4BEF-9CE2-3070644ECAC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19799" r="14590"/>
                          <a:stretch/>
                        </pic:blipFill>
                        <pic:spPr bwMode="auto">
                          <a:xfrm rot="5400000">
                            <a:off x="0" y="0"/>
                            <a:ext cx="2490350" cy="4911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3FE" w14:paraId="04EB38A6" w14:textId="77777777" w:rsidTr="006F33FE"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55FE081B" w14:textId="77777777" w:rsidR="006F33FE" w:rsidRDefault="006F33FE" w:rsidP="006F33FE">
            <w:pPr>
              <w:spacing w:after="0" w:line="240" w:lineRule="auto"/>
              <w:jc w:val="center"/>
              <w:rPr>
                <w:rFonts w:ascii="Segoe UI" w:hAnsi="Segoe UI" w:cs="Segoe UI"/>
                <w:noProof/>
                <w:sz w:val="22"/>
              </w:rPr>
            </w:pPr>
          </w:p>
          <w:p w14:paraId="2E9428BA" w14:textId="4EE8D9F2" w:rsidR="006F33FE" w:rsidRPr="00A41238" w:rsidRDefault="006F33FE" w:rsidP="006F33FE">
            <w:pPr>
              <w:spacing w:after="0" w:line="240" w:lineRule="auto"/>
              <w:jc w:val="center"/>
              <w:rPr>
                <w:rFonts w:ascii="Segoe UI" w:hAnsi="Segoe UI" w:cs="Segoe UI"/>
                <w:noProof/>
                <w:sz w:val="22"/>
              </w:rPr>
            </w:pPr>
          </w:p>
        </w:tc>
      </w:tr>
    </w:tbl>
    <w:tbl>
      <w:tblPr>
        <w:tblStyle w:val="TableGrid"/>
        <w:tblW w:w="97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7974"/>
      </w:tblGrid>
      <w:tr w:rsidR="00CF1996" w:rsidRPr="00A750A0" w14:paraId="792B6BD0" w14:textId="77777777" w:rsidTr="001F6689">
        <w:trPr>
          <w:trHeight w:val="1121"/>
          <w:jc w:val="center"/>
        </w:trPr>
        <w:tc>
          <w:tcPr>
            <w:tcW w:w="1746" w:type="dxa"/>
            <w:vAlign w:val="center"/>
          </w:tcPr>
          <w:p w14:paraId="6BE548DB" w14:textId="77777777" w:rsidR="00CF1996" w:rsidRPr="00A750A0" w:rsidRDefault="00CF1996" w:rsidP="001F6689">
            <w:pPr>
              <w:spacing w:after="0"/>
              <w:jc w:val="center"/>
              <w:rPr>
                <w:rFonts w:ascii="Segoe UI" w:hAnsi="Segoe UI" w:cs="Segoe UI"/>
                <w:color w:val="FFFFFF" w:themeColor="background1"/>
                <w:sz w:val="22"/>
                <w:szCs w:val="26"/>
              </w:rPr>
            </w:pPr>
            <w:r w:rsidRPr="00A750A0">
              <w:rPr>
                <w:rFonts w:ascii="Segoe UI" w:hAnsi="Segoe UI" w:cs="Segoe UI"/>
                <w:noProof/>
                <w:color w:val="FFFFFF" w:themeColor="background1"/>
                <w:sz w:val="22"/>
                <w:szCs w:val="26"/>
              </w:rPr>
              <w:drawing>
                <wp:inline distT="0" distB="0" distL="0" distR="0" wp14:anchorId="11D4073F" wp14:editId="43516440">
                  <wp:extent cx="962025" cy="641350"/>
                  <wp:effectExtent l="0" t="0" r="9525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fJJ decal-fina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vAlign w:val="center"/>
          </w:tcPr>
          <w:p w14:paraId="5628E022" w14:textId="77777777" w:rsidR="00CF1996" w:rsidRPr="00A750A0" w:rsidRDefault="00CF1996" w:rsidP="001F6689">
            <w:pPr>
              <w:shd w:val="clear" w:color="auto" w:fill="2F5496" w:themeFill="accent1" w:themeFillShade="BF"/>
              <w:spacing w:after="0"/>
              <w:rPr>
                <w:rFonts w:ascii="Segoe UI" w:hAnsi="Segoe UI" w:cs="Segoe UI"/>
                <w:color w:val="FFFFFF" w:themeColor="background1"/>
                <w:sz w:val="22"/>
                <w:szCs w:val="26"/>
              </w:rPr>
            </w:pPr>
            <w:r w:rsidRPr="00A750A0">
              <w:rPr>
                <w:rFonts w:ascii="Segoe UI" w:hAnsi="Segoe UI" w:cs="Segoe UI"/>
                <w:color w:val="FFFFFF" w:themeColor="background1"/>
                <w:sz w:val="22"/>
                <w:szCs w:val="26"/>
              </w:rPr>
              <w:t>For more information, please contact Sana Fadel, sanafadel@cfjj.org</w:t>
            </w:r>
            <w:r w:rsidRPr="00A750A0">
              <w:rPr>
                <w:rFonts w:ascii="Segoe UI" w:hAnsi="Segoe UI" w:cs="Segoe UI"/>
                <w:color w:val="FFFFFF" w:themeColor="background1"/>
                <w:sz w:val="22"/>
                <w:szCs w:val="26"/>
              </w:rPr>
              <w:br/>
              <w:t>Citizens for Juvenile Justice, 44 School Street, Suite 415, Boston MA 02108</w:t>
            </w:r>
          </w:p>
        </w:tc>
      </w:tr>
    </w:tbl>
    <w:p w14:paraId="4C051A1C" w14:textId="477CB06B" w:rsidR="00405465" w:rsidRDefault="00405465" w:rsidP="0040546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2"/>
        </w:rPr>
      </w:pPr>
    </w:p>
    <w:p w14:paraId="1588D2B7" w14:textId="3D0861CA" w:rsidR="006F33FE" w:rsidRDefault="006F33FE" w:rsidP="0040546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2"/>
        </w:rPr>
      </w:pPr>
    </w:p>
    <w:p w14:paraId="038F8F4A" w14:textId="3578AF7F" w:rsidR="006F33FE" w:rsidRDefault="006F33FE" w:rsidP="0040546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2"/>
        </w:rPr>
      </w:pPr>
    </w:p>
    <w:sectPr w:rsidR="006F33FE" w:rsidSect="006F33FE">
      <w:endnotePr>
        <w:numFmt w:val="decimal"/>
      </w:endnotePr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3A097" w14:textId="77777777" w:rsidR="00C44581" w:rsidRDefault="00C44581" w:rsidP="00405465">
      <w:pPr>
        <w:spacing w:after="0" w:line="240" w:lineRule="auto"/>
      </w:pPr>
      <w:r>
        <w:separator/>
      </w:r>
    </w:p>
  </w:endnote>
  <w:endnote w:type="continuationSeparator" w:id="0">
    <w:p w14:paraId="1B7E311D" w14:textId="77777777" w:rsidR="00C44581" w:rsidRDefault="00C44581" w:rsidP="00405465">
      <w:pPr>
        <w:spacing w:after="0" w:line="240" w:lineRule="auto"/>
      </w:pPr>
      <w:r>
        <w:continuationSeparator/>
      </w:r>
    </w:p>
  </w:endnote>
  <w:endnote w:id="1">
    <w:p w14:paraId="7C6BDA3F" w14:textId="77777777" w:rsidR="006F33FE" w:rsidRPr="00F3767A" w:rsidRDefault="006F33FE" w:rsidP="006F33FE">
      <w:pPr>
        <w:pStyle w:val="EndnoteText"/>
        <w:rPr>
          <w:rFonts w:ascii="Segoe UI" w:hAnsi="Segoe UI" w:cs="Segoe UI"/>
          <w:sz w:val="18"/>
          <w:szCs w:val="18"/>
        </w:rPr>
      </w:pPr>
      <w:r w:rsidRPr="00F3767A">
        <w:rPr>
          <w:rStyle w:val="EndnoteReference"/>
          <w:rFonts w:ascii="Segoe UI" w:hAnsi="Segoe UI" w:cs="Segoe UI"/>
          <w:sz w:val="18"/>
          <w:szCs w:val="18"/>
        </w:rPr>
        <w:endnoteRef/>
      </w:r>
      <w:r w:rsidRPr="00F3767A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F3767A">
        <w:rPr>
          <w:rFonts w:ascii="Segoe UI" w:hAnsi="Segoe UI" w:cs="Segoe UI"/>
          <w:sz w:val="18"/>
          <w:szCs w:val="18"/>
        </w:rPr>
        <w:t>Loeber</w:t>
      </w:r>
      <w:proofErr w:type="spellEnd"/>
      <w:r w:rsidRPr="00F3767A">
        <w:rPr>
          <w:rFonts w:ascii="Segoe UI" w:hAnsi="Segoe UI" w:cs="Segoe UI"/>
          <w:sz w:val="18"/>
          <w:szCs w:val="18"/>
        </w:rPr>
        <w:t>, Rolf, and Rebecca Stallings, “</w:t>
      </w:r>
      <w:r w:rsidRPr="00F3767A">
        <w:rPr>
          <w:rFonts w:ascii="Segoe UI" w:hAnsi="Segoe UI" w:cs="Segoe UI"/>
          <w:i/>
          <w:sz w:val="18"/>
          <w:szCs w:val="18"/>
        </w:rPr>
        <w:t>Modeling the Impact of Interventions on Local Indicators of Offending, Victimization, and Incarceration,</w:t>
      </w:r>
      <w:r w:rsidRPr="00F3767A">
        <w:rPr>
          <w:rFonts w:ascii="Segoe UI" w:hAnsi="Segoe UI" w:cs="Segoe UI"/>
          <w:sz w:val="18"/>
          <w:szCs w:val="18"/>
        </w:rPr>
        <w:t xml:space="preserve">” in Young Homicide Offenders and Victims: Risk Factors, Prediction, and Prevention from Childhood, eds. Rolf </w:t>
      </w:r>
      <w:proofErr w:type="spellStart"/>
      <w:r w:rsidRPr="00F3767A">
        <w:rPr>
          <w:rFonts w:ascii="Segoe UI" w:hAnsi="Segoe UI" w:cs="Segoe UI"/>
          <w:sz w:val="18"/>
          <w:szCs w:val="18"/>
        </w:rPr>
        <w:t>Loeber</w:t>
      </w:r>
      <w:proofErr w:type="spellEnd"/>
      <w:r w:rsidRPr="00F3767A">
        <w:rPr>
          <w:rFonts w:ascii="Segoe UI" w:hAnsi="Segoe UI" w:cs="Segoe UI"/>
          <w:sz w:val="18"/>
          <w:szCs w:val="18"/>
        </w:rPr>
        <w:t xml:space="preserve"> and David P. Farrington, New York: Springer, 2011: 137-152. Accessed at </w:t>
      </w:r>
      <w:hyperlink r:id="rId1" w:history="1">
        <w:r w:rsidRPr="00F3767A">
          <w:rPr>
            <w:rStyle w:val="Hyperlink"/>
            <w:rFonts w:ascii="Segoe UI" w:hAnsi="Segoe UI" w:cs="Segoe UI"/>
            <w:sz w:val="18"/>
            <w:szCs w:val="18"/>
          </w:rPr>
          <w:t>https://nij.ojp.gov/topics/articles/juvenile-delinquency-young-adult-offending</w:t>
        </w:r>
      </w:hyperlink>
      <w:r w:rsidRPr="00F3767A">
        <w:rPr>
          <w:rFonts w:ascii="Segoe UI" w:hAnsi="Segoe UI" w:cs="Segoe UI"/>
          <w:sz w:val="18"/>
          <w:szCs w:val="18"/>
        </w:rPr>
        <w:t xml:space="preserve"> </w:t>
      </w:r>
    </w:p>
  </w:endnote>
  <w:endnote w:id="2">
    <w:p w14:paraId="0C5C474B" w14:textId="77777777" w:rsidR="006F33FE" w:rsidRPr="00F3767A" w:rsidRDefault="006F33FE" w:rsidP="006F33FE">
      <w:pPr>
        <w:pStyle w:val="EndnoteText"/>
        <w:rPr>
          <w:rFonts w:ascii="Segoe UI" w:hAnsi="Segoe UI" w:cs="Segoe UI"/>
          <w:sz w:val="18"/>
          <w:szCs w:val="18"/>
        </w:rPr>
      </w:pPr>
      <w:r w:rsidRPr="00F3767A">
        <w:rPr>
          <w:rStyle w:val="EndnoteReference"/>
          <w:rFonts w:ascii="Segoe UI" w:hAnsi="Segoe UI" w:cs="Segoe UI"/>
          <w:sz w:val="18"/>
          <w:szCs w:val="18"/>
        </w:rPr>
        <w:endnoteRef/>
      </w:r>
      <w:r w:rsidRPr="00F3767A">
        <w:rPr>
          <w:rFonts w:ascii="Segoe UI" w:hAnsi="Segoe UI" w:cs="Segoe UI"/>
          <w:sz w:val="18"/>
          <w:szCs w:val="18"/>
        </w:rPr>
        <w:t xml:space="preserve"> Centers for Disease Control and Prevention. </w:t>
      </w:r>
      <w:r w:rsidRPr="00F3767A">
        <w:rPr>
          <w:rFonts w:ascii="Segoe UI" w:hAnsi="Segoe UI" w:cs="Segoe UI"/>
          <w:i/>
          <w:sz w:val="18"/>
          <w:szCs w:val="18"/>
        </w:rPr>
        <w:t>Effects on Violence of Laws and Policies Facilitating the Transfer of Youth from the Juvenile to the Adult Justice System</w:t>
      </w:r>
      <w:r w:rsidRPr="00F3767A">
        <w:rPr>
          <w:rFonts w:ascii="Segoe UI" w:hAnsi="Segoe UI" w:cs="Segoe UI"/>
          <w:sz w:val="18"/>
          <w:szCs w:val="18"/>
        </w:rPr>
        <w:t xml:space="preserve">. MMWR 2007;56 (No. RR-9). Available at </w:t>
      </w:r>
      <w:hyperlink r:id="rId2" w:history="1">
        <w:r w:rsidRPr="00F3767A">
          <w:rPr>
            <w:rStyle w:val="Hyperlink"/>
            <w:rFonts w:ascii="Segoe UI" w:hAnsi="Segoe UI" w:cs="Segoe UI"/>
            <w:sz w:val="18"/>
            <w:szCs w:val="18"/>
          </w:rPr>
          <w:t>https://www.cdc.gov/mmwr/pdf/rr/rr5609.pdf</w:t>
        </w:r>
      </w:hyperlink>
      <w:r w:rsidRPr="00F3767A">
        <w:rPr>
          <w:rFonts w:ascii="Segoe UI" w:hAnsi="Segoe UI" w:cs="Segoe UI"/>
          <w:sz w:val="18"/>
          <w:szCs w:val="18"/>
        </w:rPr>
        <w:t xml:space="preserve"> </w:t>
      </w:r>
    </w:p>
  </w:endnote>
  <w:endnote w:id="3">
    <w:p w14:paraId="5865530E" w14:textId="77777777" w:rsidR="006F33FE" w:rsidRPr="00F3767A" w:rsidRDefault="006F33FE" w:rsidP="006F33FE">
      <w:pPr>
        <w:pStyle w:val="EndnoteText"/>
        <w:rPr>
          <w:rFonts w:ascii="Segoe UI" w:hAnsi="Segoe UI" w:cs="Segoe UI"/>
          <w:sz w:val="18"/>
          <w:szCs w:val="18"/>
        </w:rPr>
      </w:pPr>
      <w:r w:rsidRPr="00F3767A">
        <w:rPr>
          <w:rStyle w:val="EndnoteReference"/>
          <w:rFonts w:ascii="Segoe UI" w:hAnsi="Segoe UI" w:cs="Segoe UI"/>
          <w:sz w:val="18"/>
          <w:szCs w:val="18"/>
        </w:rPr>
        <w:endnoteRef/>
      </w:r>
      <w:r w:rsidRPr="00F3767A">
        <w:rPr>
          <w:rFonts w:ascii="Segoe UI" w:hAnsi="Segoe UI" w:cs="Segoe UI"/>
          <w:sz w:val="18"/>
          <w:szCs w:val="18"/>
        </w:rPr>
        <w:t xml:space="preserve"> Council of State Governments Justice Center, “Justice Reinvestment in Massachusetts: Policy Framework,” February 21, 2017. Available at </w:t>
      </w:r>
      <w:hyperlink r:id="rId3" w:history="1">
        <w:r w:rsidRPr="00F3767A">
          <w:rPr>
            <w:rStyle w:val="Hyperlink"/>
            <w:rFonts w:ascii="Segoe UI" w:hAnsi="Segoe UI" w:cs="Segoe UI"/>
            <w:sz w:val="18"/>
            <w:szCs w:val="18"/>
          </w:rPr>
          <w:t>https://csgjusticecenter.org/jr/massachusetts/publications/justice-reinvestment-in-massachusetts-policy-framework/</w:t>
        </w:r>
      </w:hyperlink>
      <w:r w:rsidRPr="00F3767A">
        <w:rPr>
          <w:rFonts w:ascii="Segoe UI" w:hAnsi="Segoe UI" w:cs="Segoe UI"/>
          <w:sz w:val="18"/>
          <w:szCs w:val="18"/>
        </w:rPr>
        <w:t xml:space="preserve"> </w:t>
      </w:r>
    </w:p>
  </w:endnote>
  <w:endnote w:id="4">
    <w:p w14:paraId="42301E45" w14:textId="77777777" w:rsidR="006F33FE" w:rsidRPr="00F3767A" w:rsidRDefault="006F33FE" w:rsidP="006F33FE">
      <w:pPr>
        <w:pStyle w:val="EndnoteText"/>
        <w:rPr>
          <w:rFonts w:ascii="Segoe UI" w:hAnsi="Segoe UI" w:cs="Segoe UI"/>
          <w:sz w:val="18"/>
          <w:szCs w:val="18"/>
        </w:rPr>
      </w:pPr>
      <w:r w:rsidRPr="00F3767A">
        <w:rPr>
          <w:rStyle w:val="EndnoteReference"/>
          <w:rFonts w:ascii="Segoe UI" w:hAnsi="Segoe UI" w:cs="Segoe UI"/>
          <w:sz w:val="18"/>
          <w:szCs w:val="18"/>
        </w:rPr>
        <w:endnoteRef/>
      </w:r>
      <w:r w:rsidRPr="00F3767A">
        <w:rPr>
          <w:rFonts w:ascii="Segoe UI" w:hAnsi="Segoe UI" w:cs="Segoe UI"/>
          <w:sz w:val="18"/>
          <w:szCs w:val="18"/>
        </w:rPr>
        <w:t xml:space="preserve"> Re-arraignment rate is 46% after DYS commitment compared to 76% after incarceration at county jails.</w:t>
      </w:r>
    </w:p>
  </w:endnote>
  <w:endnote w:id="5">
    <w:p w14:paraId="4B062345" w14:textId="77777777" w:rsidR="006F33FE" w:rsidRPr="00F3767A" w:rsidRDefault="006F33FE" w:rsidP="006F33FE">
      <w:pPr>
        <w:pStyle w:val="EndnoteText"/>
        <w:rPr>
          <w:rFonts w:ascii="Segoe UI" w:hAnsi="Segoe UI" w:cs="Segoe UI"/>
          <w:sz w:val="18"/>
          <w:szCs w:val="18"/>
        </w:rPr>
      </w:pPr>
      <w:r w:rsidRPr="00F3767A">
        <w:rPr>
          <w:rStyle w:val="EndnoteReference"/>
          <w:rFonts w:ascii="Segoe UI" w:hAnsi="Segoe UI" w:cs="Segoe UI"/>
          <w:sz w:val="18"/>
          <w:szCs w:val="18"/>
        </w:rPr>
        <w:endnoteRef/>
      </w:r>
      <w:r w:rsidRPr="00F3767A">
        <w:rPr>
          <w:rFonts w:ascii="Segoe UI" w:hAnsi="Segoe UI" w:cs="Segoe UI"/>
          <w:sz w:val="18"/>
          <w:szCs w:val="18"/>
        </w:rPr>
        <w:t xml:space="preserve"> Department of Youth Services, “Juvenile Recidivism Report for Youth Discharged During 2014” November 19, 2018.  Available at </w:t>
      </w:r>
      <w:hyperlink r:id="rId4" w:history="1">
        <w:r w:rsidRPr="00F3767A">
          <w:rPr>
            <w:rStyle w:val="Hyperlink"/>
            <w:rFonts w:ascii="Segoe UI" w:hAnsi="Segoe UI" w:cs="Segoe UI"/>
            <w:sz w:val="18"/>
            <w:szCs w:val="18"/>
          </w:rPr>
          <w:t>https://www.mass.gov/files/documents/2018/12/17/recid2018.docx</w:t>
        </w:r>
      </w:hyperlink>
      <w:r w:rsidRPr="00F3767A">
        <w:rPr>
          <w:rFonts w:ascii="Segoe UI" w:hAnsi="Segoe UI" w:cs="Segoe UI"/>
          <w:sz w:val="18"/>
          <w:szCs w:val="18"/>
        </w:rPr>
        <w:t xml:space="preserve"> </w:t>
      </w:r>
    </w:p>
  </w:endnote>
  <w:endnote w:id="6">
    <w:p w14:paraId="0BC10FF2" w14:textId="77777777" w:rsidR="006F33FE" w:rsidRPr="00F3767A" w:rsidRDefault="006F33FE" w:rsidP="006F33FE">
      <w:pPr>
        <w:pStyle w:val="EndnoteText"/>
        <w:rPr>
          <w:rFonts w:ascii="Segoe UI" w:hAnsi="Segoe UI" w:cs="Segoe UI"/>
          <w:sz w:val="18"/>
          <w:szCs w:val="18"/>
        </w:rPr>
      </w:pPr>
      <w:r w:rsidRPr="00F3767A">
        <w:rPr>
          <w:rStyle w:val="EndnoteReference"/>
          <w:rFonts w:ascii="Segoe UI" w:hAnsi="Segoe UI" w:cs="Segoe UI"/>
          <w:sz w:val="18"/>
          <w:szCs w:val="18"/>
        </w:rPr>
        <w:endnoteRef/>
      </w:r>
      <w:r w:rsidRPr="00F3767A">
        <w:rPr>
          <w:rFonts w:ascii="Segoe UI" w:hAnsi="Segoe UI" w:cs="Segoe UI"/>
          <w:sz w:val="18"/>
          <w:szCs w:val="18"/>
        </w:rPr>
        <w:t xml:space="preserve"> Council of State Governments Justice Center, “Justice Reinvestment in Massachusetts: Working Group Meeting 3 Interim Report,” July 21, 2017. Available at </w:t>
      </w:r>
      <w:hyperlink r:id="rId5" w:history="1">
        <w:r w:rsidRPr="00F3767A">
          <w:rPr>
            <w:rStyle w:val="Hyperlink"/>
            <w:rFonts w:ascii="Segoe UI" w:hAnsi="Segoe UI" w:cs="Segoe UI"/>
            <w:sz w:val="18"/>
            <w:szCs w:val="18"/>
          </w:rPr>
          <w:t>https://csgjusticecenter.org/publications/justice-reinvestment-in-massachusetts-third-presentation/</w:t>
        </w:r>
      </w:hyperlink>
      <w:r w:rsidRPr="00F3767A">
        <w:rPr>
          <w:rFonts w:ascii="Segoe UI" w:hAnsi="Segoe UI" w:cs="Segoe UI"/>
          <w:sz w:val="18"/>
          <w:szCs w:val="18"/>
        </w:rPr>
        <w:t xml:space="preserve"> </w:t>
      </w:r>
    </w:p>
  </w:endnote>
  <w:endnote w:id="7">
    <w:p w14:paraId="088D7EB3" w14:textId="77777777" w:rsidR="006F33FE" w:rsidRPr="00F3767A" w:rsidRDefault="006F33FE" w:rsidP="006F33FE">
      <w:pPr>
        <w:pStyle w:val="EndnoteText"/>
        <w:rPr>
          <w:rFonts w:ascii="Segoe UI" w:hAnsi="Segoe UI" w:cs="Segoe UI"/>
          <w:sz w:val="18"/>
          <w:szCs w:val="18"/>
        </w:rPr>
      </w:pPr>
      <w:r w:rsidRPr="00F3767A">
        <w:rPr>
          <w:rStyle w:val="EndnoteReference"/>
          <w:rFonts w:ascii="Segoe UI" w:hAnsi="Segoe UI" w:cs="Segoe UI"/>
          <w:sz w:val="18"/>
          <w:szCs w:val="18"/>
        </w:rPr>
        <w:endnoteRef/>
      </w:r>
      <w:r w:rsidRPr="00F3767A">
        <w:rPr>
          <w:rFonts w:ascii="Segoe UI" w:hAnsi="Segoe UI" w:cs="Segoe UI"/>
          <w:sz w:val="18"/>
          <w:szCs w:val="18"/>
        </w:rPr>
        <w:t xml:space="preserve"> Department of Youth Services, “Juvenile Recidivism Report for Youth Discharged During 2016” December 15, 2020.  Available at </w:t>
      </w:r>
      <w:hyperlink r:id="rId6" w:history="1">
        <w:r w:rsidRPr="00F3767A">
          <w:rPr>
            <w:rStyle w:val="Hyperlink"/>
            <w:rFonts w:ascii="Segoe UI" w:hAnsi="Segoe UI" w:cs="Segoe UI"/>
            <w:sz w:val="18"/>
            <w:szCs w:val="18"/>
          </w:rPr>
          <w:t>https://www.mass.gov/doc/dys-2020-recidivism-report/download</w:t>
        </w:r>
      </w:hyperlink>
      <w:r w:rsidRPr="00F3767A">
        <w:rPr>
          <w:rFonts w:ascii="Segoe UI" w:hAnsi="Segoe UI" w:cs="Segoe UI"/>
          <w:sz w:val="18"/>
          <w:szCs w:val="18"/>
        </w:rPr>
        <w:t xml:space="preserve">. </w:t>
      </w:r>
    </w:p>
  </w:endnote>
  <w:endnote w:id="8">
    <w:p w14:paraId="4ABCB41D" w14:textId="77777777" w:rsidR="006F33FE" w:rsidRPr="00F3767A" w:rsidRDefault="006F33FE" w:rsidP="006F33FE">
      <w:pPr>
        <w:pStyle w:val="EndnoteText"/>
        <w:rPr>
          <w:rFonts w:ascii="Segoe UI" w:hAnsi="Segoe UI" w:cs="Segoe UI"/>
          <w:sz w:val="18"/>
          <w:szCs w:val="18"/>
        </w:rPr>
      </w:pPr>
      <w:r w:rsidRPr="00F3767A">
        <w:rPr>
          <w:rStyle w:val="EndnoteReference"/>
          <w:rFonts w:ascii="Segoe UI" w:hAnsi="Segoe UI" w:cs="Segoe UI"/>
          <w:sz w:val="18"/>
          <w:szCs w:val="18"/>
        </w:rPr>
        <w:endnoteRef/>
      </w:r>
      <w:r w:rsidRPr="00F3767A">
        <w:rPr>
          <w:rFonts w:ascii="Segoe UI" w:hAnsi="Segoe UI" w:cs="Segoe UI"/>
          <w:sz w:val="18"/>
          <w:szCs w:val="18"/>
        </w:rPr>
        <w:t xml:space="preserve"> Council of State Governments Justice Center, “Justice Reinvestment in Massachusetts: Working Group Meeting 3 Interim Report,” July 21, 2017. Available at </w:t>
      </w:r>
      <w:hyperlink r:id="rId7" w:history="1">
        <w:r w:rsidRPr="00F3767A">
          <w:rPr>
            <w:rStyle w:val="Hyperlink"/>
            <w:rFonts w:ascii="Segoe UI" w:hAnsi="Segoe UI" w:cs="Segoe UI"/>
            <w:sz w:val="18"/>
            <w:szCs w:val="18"/>
          </w:rPr>
          <w:t>https://csgjusticecenter.org/publications/justice-reinvestment-in-massachusetts-third-presentation/</w:t>
        </w:r>
      </w:hyperlink>
      <w:r w:rsidRPr="00F3767A">
        <w:rPr>
          <w:rFonts w:ascii="Segoe UI" w:hAnsi="Segoe UI" w:cs="Segoe UI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7987" w14:textId="77777777" w:rsidR="00C44581" w:rsidRDefault="00C44581" w:rsidP="00405465">
      <w:pPr>
        <w:spacing w:after="0" w:line="240" w:lineRule="auto"/>
      </w:pPr>
      <w:r>
        <w:separator/>
      </w:r>
    </w:p>
  </w:footnote>
  <w:footnote w:type="continuationSeparator" w:id="0">
    <w:p w14:paraId="1F645B51" w14:textId="77777777" w:rsidR="00C44581" w:rsidRDefault="00C44581" w:rsidP="00405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F75C5"/>
    <w:multiLevelType w:val="hybridMultilevel"/>
    <w:tmpl w:val="B1F4632C"/>
    <w:lvl w:ilvl="0" w:tplc="E370CAF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65"/>
    <w:rsid w:val="000B76E0"/>
    <w:rsid w:val="001F6689"/>
    <w:rsid w:val="00405465"/>
    <w:rsid w:val="005560F5"/>
    <w:rsid w:val="005A2A45"/>
    <w:rsid w:val="00691572"/>
    <w:rsid w:val="006F33FE"/>
    <w:rsid w:val="00A305FC"/>
    <w:rsid w:val="00A750A0"/>
    <w:rsid w:val="00B4258D"/>
    <w:rsid w:val="00B64CF8"/>
    <w:rsid w:val="00B77D68"/>
    <w:rsid w:val="00BE6E65"/>
    <w:rsid w:val="00C44581"/>
    <w:rsid w:val="00CF1996"/>
    <w:rsid w:val="00D037F0"/>
    <w:rsid w:val="00E346F3"/>
    <w:rsid w:val="00E36112"/>
    <w:rsid w:val="00E5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E5F87"/>
  <w15:chartTrackingRefBased/>
  <w15:docId w15:val="{B7791119-E50A-40AE-A260-77D25E03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465"/>
    <w:pPr>
      <w:spacing w:after="240" w:line="276" w:lineRule="auto"/>
    </w:pPr>
    <w:rPr>
      <w:rFonts w:ascii="Times New Roman" w:eastAsia="Calibri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D68"/>
    <w:pPr>
      <w:keepNext/>
      <w:keepLines/>
      <w:spacing w:before="240"/>
      <w:outlineLvl w:val="0"/>
    </w:pPr>
    <w:rPr>
      <w:rFonts w:eastAsiaTheme="majorEastAsia" w:cstheme="majorBidi"/>
      <w:b/>
      <w:small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D68"/>
    <w:pPr>
      <w:keepNext/>
      <w:keepLines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D68"/>
    <w:pPr>
      <w:keepNext/>
      <w:keepLines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7D68"/>
    <w:pPr>
      <w:keepNext/>
      <w:keepLines/>
      <w:outlineLvl w:val="3"/>
    </w:pPr>
    <w:rPr>
      <w:rFonts w:eastAsiaTheme="majorEastAsia" w:cstheme="majorBidi"/>
      <w:iCs/>
      <w:color w:val="2F5496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D68"/>
    <w:rPr>
      <w:rFonts w:eastAsiaTheme="majorEastAsia" w:cstheme="majorBidi"/>
      <w:b/>
      <w:smallCaps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D68"/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77D68"/>
    <w:rPr>
      <w:rFonts w:eastAsiaTheme="majorEastAsia" w:cstheme="majorBidi"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77D68"/>
    <w:rPr>
      <w:rFonts w:eastAsiaTheme="majorEastAsia" w:cstheme="majorBidi"/>
      <w:b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B77D68"/>
    <w:pPr>
      <w:ind w:left="720"/>
      <w:contextualSpacing/>
    </w:pPr>
    <w:rPr>
      <w:rFonts w:eastAsia="Times New Roman"/>
      <w:kern w:val="1"/>
      <w:szCs w:val="24"/>
    </w:rPr>
  </w:style>
  <w:style w:type="character" w:styleId="Hyperlink">
    <w:name w:val="Hyperlink"/>
    <w:basedOn w:val="DefaultParagraphFont"/>
    <w:uiPriority w:val="99"/>
    <w:rsid w:val="0040546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405465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546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405465"/>
    <w:rPr>
      <w:vertAlign w:val="superscript"/>
    </w:rPr>
  </w:style>
  <w:style w:type="paragraph" w:customStyle="1" w:styleId="Style1">
    <w:name w:val="Style1"/>
    <w:basedOn w:val="Heading1"/>
    <w:next w:val="Heading1"/>
    <w:link w:val="Style1Char"/>
    <w:qFormat/>
    <w:rsid w:val="00405465"/>
    <w:pPr>
      <w:shd w:val="clear" w:color="auto" w:fill="8496B0" w:themeFill="text2" w:themeFillTint="99"/>
    </w:pPr>
    <w:rPr>
      <w:rFonts w:eastAsiaTheme="minorEastAsia" w:cs="Segoe UI"/>
      <w:iCs/>
      <w:smallCaps w:val="0"/>
      <w:color w:val="FFFFFF" w:themeColor="background1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405465"/>
    <w:rPr>
      <w:rFonts w:eastAsiaTheme="minorEastAsia"/>
      <w:b/>
      <w:iCs/>
      <w:color w:val="FFFFFF" w:themeColor="background1"/>
      <w:sz w:val="26"/>
      <w:szCs w:val="26"/>
      <w:shd w:val="clear" w:color="auto" w:fill="8496B0" w:themeFill="text2" w:themeFillTint="99"/>
    </w:rPr>
  </w:style>
  <w:style w:type="table" w:styleId="TableGrid">
    <w:name w:val="Table Grid"/>
    <w:basedOn w:val="TableNormal"/>
    <w:uiPriority w:val="39"/>
    <w:rsid w:val="00CF199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F33F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F33F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33FE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33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sgjusticecenter.org/jr/massachusetts/publications/justice-reinvestment-in-massachusetts-policy-framework/" TargetMode="External"/><Relationship Id="rId7" Type="http://schemas.openxmlformats.org/officeDocument/2006/relationships/hyperlink" Target="https://csgjusticecenter.org/publications/justice-reinvestment-in-massachusetts-third-presentation/" TargetMode="External"/><Relationship Id="rId2" Type="http://schemas.openxmlformats.org/officeDocument/2006/relationships/hyperlink" Target="https://www.cdc.gov/mmwr/pdf/rr/rr5609.pdf" TargetMode="External"/><Relationship Id="rId1" Type="http://schemas.openxmlformats.org/officeDocument/2006/relationships/hyperlink" Target="https://nij.ojp.gov/topics/articles/juvenile-delinquency-young-adult-offending" TargetMode="External"/><Relationship Id="rId6" Type="http://schemas.openxmlformats.org/officeDocument/2006/relationships/hyperlink" Target="https://www.mass.gov/doc/dys-2020-recidivism-report/download" TargetMode="External"/><Relationship Id="rId5" Type="http://schemas.openxmlformats.org/officeDocument/2006/relationships/hyperlink" Target="https://csgjusticecenter.org/publications/justice-reinvestment-in-massachusetts-third-presentation/" TargetMode="External"/><Relationship Id="rId4" Type="http://schemas.openxmlformats.org/officeDocument/2006/relationships/hyperlink" Target="https://www.mass.gov/files/documents/2018/12/17/recid2018.doc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naf\Dropbox%20(CfJJ)\CfJJ%20DROPBOX\Legislative%20Advocacy\2021-2022%20Session\Raise%20the%20Age%20H1826%20S920\MA%20Data\CSG%2018-24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en-US" sz="1400" b="1" dirty="0">
                <a:solidFill>
                  <a:schemeClr val="tx1">
                    <a:lumMod val="65000"/>
                    <a:lumOff val="35000"/>
                  </a:schemeClr>
                </a:solidFill>
                <a:latin typeface="Segoe UI" panose="020B0502040204020203" pitchFamily="34" charset="0"/>
                <a:cs typeface="Segoe UI" panose="020B0502040204020203" pitchFamily="34" charset="0"/>
              </a:rPr>
              <a:t>Recidivism</a:t>
            </a:r>
            <a:r>
              <a:rPr lang="en-US" sz="1400" b="1" baseline="0" dirty="0">
                <a:solidFill>
                  <a:schemeClr val="tx1">
                    <a:lumMod val="65000"/>
                    <a:lumOff val="35000"/>
                  </a:schemeClr>
                </a:solidFill>
                <a:latin typeface="Segoe UI" panose="020B0502040204020203" pitchFamily="34" charset="0"/>
                <a:cs typeface="Segoe UI" panose="020B0502040204020203" pitchFamily="34" charset="0"/>
              </a:rPr>
              <a:t> – Adult vs Juvenile Systems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1454990720302221E-2"/>
          <c:y val="0.20875675675675676"/>
          <c:w val="0.59949790794979074"/>
          <c:h val="0.656414981911044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18-24 y.o. released from adult incarceration</c:v>
                </c:pt>
              </c:strCache>
            </c:strRef>
          </c:tx>
          <c:spPr>
            <a:solidFill>
              <a:srgbClr val="36509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Re-Arraignment</c:v>
                </c:pt>
                <c:pt idx="1">
                  <c:v>Re-Conviction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0.76</c:v>
                </c:pt>
                <c:pt idx="1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B0-459F-8F1B-DDB800028DF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Youth through age 21 released from DYS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Re-Arraignment</c:v>
                </c:pt>
                <c:pt idx="1">
                  <c:v>Re-Conviction</c:v>
                </c:pt>
              </c:strCache>
            </c:strRef>
          </c:cat>
          <c:val>
            <c:numRef>
              <c:f>Sheet1!$C$2:$C$3</c:f>
              <c:numCache>
                <c:formatCode>0%</c:formatCode>
                <c:ptCount val="2"/>
                <c:pt idx="0">
                  <c:v>0.46</c:v>
                </c:pt>
                <c:pt idx="1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B0-459F-8F1B-DDB800028D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043264"/>
        <c:axId val="334955072"/>
      </c:barChart>
      <c:catAx>
        <c:axId val="14004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en-US"/>
          </a:p>
        </c:txPr>
        <c:crossAx val="334955072"/>
        <c:crosses val="autoZero"/>
        <c:auto val="1"/>
        <c:lblAlgn val="ctr"/>
        <c:lblOffset val="100"/>
        <c:noMultiLvlLbl val="0"/>
      </c:catAx>
      <c:valAx>
        <c:axId val="33495507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en-US"/>
          </a:p>
        </c:txPr>
        <c:crossAx val="140043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258469783327291"/>
          <c:y val="0.4141055543732709"/>
          <c:w val="0.30067890049308688"/>
          <c:h val="0.429194296658863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en-US" b="1"/>
              <a:t>Post-Release Re-Conviction Rate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Recidivism!$B$2</c:f>
              <c:strCache>
                <c:ptCount val="1"/>
                <c:pt idx="0">
                  <c:v>DYS* (1-Year)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Recidivism!$A$3:$A$7</c:f>
              <c:strCache>
                <c:ptCount val="5"/>
                <c:pt idx="0">
                  <c:v>&lt; 21</c:v>
                </c:pt>
                <c:pt idx="1">
                  <c:v>18-24</c:v>
                </c:pt>
                <c:pt idx="2">
                  <c:v>25-34</c:v>
                </c:pt>
                <c:pt idx="3">
                  <c:v>35-44</c:v>
                </c:pt>
                <c:pt idx="4">
                  <c:v>45+</c:v>
                </c:pt>
              </c:strCache>
            </c:strRef>
          </c:cat>
          <c:val>
            <c:numRef>
              <c:f>Recidivism!$B$3:$B$7</c:f>
              <c:numCache>
                <c:formatCode>General</c:formatCode>
                <c:ptCount val="5"/>
                <c:pt idx="0" formatCode="0%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04-4635-8633-CC0365DCDF6D}"/>
            </c:ext>
          </c:extLst>
        </c:ser>
        <c:ser>
          <c:idx val="1"/>
          <c:order val="1"/>
          <c:tx>
            <c:strRef>
              <c:f>Recidivism!$C$2</c:f>
              <c:strCache>
                <c:ptCount val="1"/>
                <c:pt idx="0">
                  <c:v>HOC+ (3-year)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Recidivism!$A$3:$A$7</c:f>
              <c:strCache>
                <c:ptCount val="5"/>
                <c:pt idx="0">
                  <c:v>&lt; 21</c:v>
                </c:pt>
                <c:pt idx="1">
                  <c:v>18-24</c:v>
                </c:pt>
                <c:pt idx="2">
                  <c:v>25-34</c:v>
                </c:pt>
                <c:pt idx="3">
                  <c:v>35-44</c:v>
                </c:pt>
                <c:pt idx="4">
                  <c:v>45+</c:v>
                </c:pt>
              </c:strCache>
            </c:strRef>
          </c:cat>
          <c:val>
            <c:numRef>
              <c:f>Recidivism!$C$3:$C$7</c:f>
              <c:numCache>
                <c:formatCode>0%</c:formatCode>
                <c:ptCount val="5"/>
                <c:pt idx="1">
                  <c:v>0.55000000000000004</c:v>
                </c:pt>
                <c:pt idx="2">
                  <c:v>0.52</c:v>
                </c:pt>
                <c:pt idx="3">
                  <c:v>0.45</c:v>
                </c:pt>
                <c:pt idx="4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04-4635-8633-CC0365DCDF6D}"/>
            </c:ext>
          </c:extLst>
        </c:ser>
        <c:ser>
          <c:idx val="2"/>
          <c:order val="2"/>
          <c:tx>
            <c:strRef>
              <c:f>Recidivism!$D$2</c:f>
              <c:strCache>
                <c:ptCount val="1"/>
                <c:pt idx="0">
                  <c:v>DOC+ (3-year)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Recidivism!$A$3:$A$7</c:f>
              <c:strCache>
                <c:ptCount val="5"/>
                <c:pt idx="0">
                  <c:v>&lt; 21</c:v>
                </c:pt>
                <c:pt idx="1">
                  <c:v>18-24</c:v>
                </c:pt>
                <c:pt idx="2">
                  <c:v>25-34</c:v>
                </c:pt>
                <c:pt idx="3">
                  <c:v>35-44</c:v>
                </c:pt>
                <c:pt idx="4">
                  <c:v>45+</c:v>
                </c:pt>
              </c:strCache>
            </c:strRef>
          </c:cat>
          <c:val>
            <c:numRef>
              <c:f>Recidivism!$D$3:$D$7</c:f>
              <c:numCache>
                <c:formatCode>0%</c:formatCode>
                <c:ptCount val="5"/>
                <c:pt idx="1">
                  <c:v>0.51</c:v>
                </c:pt>
                <c:pt idx="2">
                  <c:v>0.41</c:v>
                </c:pt>
                <c:pt idx="3">
                  <c:v>0.36</c:v>
                </c:pt>
                <c:pt idx="4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04-4635-8633-CC0365DCDF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245824"/>
        <c:axId val="334956800"/>
      </c:barChart>
      <c:catAx>
        <c:axId val="14324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en-US"/>
          </a:p>
        </c:txPr>
        <c:crossAx val="334956800"/>
        <c:crosses val="autoZero"/>
        <c:auto val="1"/>
        <c:lblAlgn val="ctr"/>
        <c:lblOffset val="100"/>
        <c:noMultiLvlLbl val="0"/>
      </c:catAx>
      <c:valAx>
        <c:axId val="334956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en-US"/>
          </a:p>
        </c:txPr>
        <c:crossAx val="14324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Segoe UI" panose="020B0502040204020203" pitchFamily="34" charset="0"/>
          <a:cs typeface="Segoe UI" panose="020B0502040204020203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3B3B7-C91C-48E6-82C1-B3022419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Fadel</dc:creator>
  <cp:keywords/>
  <dc:description/>
  <cp:lastModifiedBy>Sana Fadel</cp:lastModifiedBy>
  <cp:revision>3</cp:revision>
  <dcterms:created xsi:type="dcterms:W3CDTF">2022-03-22T22:46:00Z</dcterms:created>
  <dcterms:modified xsi:type="dcterms:W3CDTF">2022-03-22T22:53:00Z</dcterms:modified>
</cp:coreProperties>
</file>